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B5" w:rsidRPr="00A31DE6" w:rsidRDefault="00A31DE6" w:rsidP="00375EB5">
      <w:pPr>
        <w:spacing w:after="0" w:line="240" w:lineRule="auto"/>
        <w:jc w:val="center"/>
        <w:rPr>
          <w:b/>
          <w:sz w:val="28"/>
        </w:rPr>
      </w:pPr>
      <w:r w:rsidRPr="00A31DE6">
        <w:rPr>
          <w:b/>
          <w:sz w:val="28"/>
        </w:rPr>
        <w:t xml:space="preserve">Aktualne zestawienie rzeczowo- finansowe wydatków poniesionych przez Lokalną Grupę Działania </w:t>
      </w:r>
    </w:p>
    <w:p w:rsidR="00375EB5" w:rsidRPr="00A31DE6" w:rsidRDefault="00A31DE6" w:rsidP="00375EB5">
      <w:pPr>
        <w:spacing w:after="0" w:line="240" w:lineRule="auto"/>
        <w:jc w:val="center"/>
        <w:rPr>
          <w:b/>
          <w:sz w:val="28"/>
        </w:rPr>
      </w:pPr>
      <w:r w:rsidRPr="00A31DE6">
        <w:rPr>
          <w:b/>
          <w:sz w:val="28"/>
        </w:rPr>
        <w:t xml:space="preserve">Stowarzyszenie „Partnerstwo dla Ziemi Niżańskiej” </w:t>
      </w:r>
    </w:p>
    <w:p w:rsidR="005A0A07" w:rsidRPr="00A31DE6" w:rsidRDefault="00A31DE6" w:rsidP="00375EB5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A31DE6">
        <w:rPr>
          <w:b/>
          <w:sz w:val="28"/>
        </w:rPr>
        <w:t>w 2024 roku</w:t>
      </w:r>
    </w:p>
    <w:p w:rsidR="00375EB5" w:rsidRPr="00375EB5" w:rsidRDefault="00375EB5" w:rsidP="00375EB5">
      <w:pPr>
        <w:spacing w:after="0" w:line="240" w:lineRule="auto"/>
        <w:jc w:val="center"/>
        <w:rPr>
          <w:b/>
          <w:sz w:val="28"/>
        </w:rPr>
      </w:pPr>
    </w:p>
    <w:p w:rsidR="005A0A07" w:rsidRDefault="005A0A07" w:rsidP="00E75D9E">
      <w:pPr>
        <w:jc w:val="center"/>
      </w:pPr>
      <w:r>
        <w:t xml:space="preserve">w ramach </w:t>
      </w:r>
      <w:r w:rsidR="00375EB5">
        <w:t>P</w:t>
      </w:r>
      <w:r w:rsidR="00DF7C6E" w:rsidRPr="00DF7C6E">
        <w:t>oddziałani</w:t>
      </w:r>
      <w:r w:rsidR="00DF7C6E">
        <w:t>a</w:t>
      </w:r>
      <w:r w:rsidR="00DF7C6E" w:rsidRPr="00DF7C6E">
        <w:t xml:space="preserve">  19.4 „Wsparcie kosztów bieżących i aktywizacji” </w:t>
      </w:r>
      <w:r w:rsidR="00375EB5">
        <w:t xml:space="preserve">                                                   </w:t>
      </w:r>
      <w:r w:rsidR="00DF7C6E" w:rsidRPr="00DF7C6E">
        <w:t>Programu Rozwoju Obszarów Wiejskich na lata 2014-2020</w:t>
      </w:r>
      <w:r w:rsidR="00DF7C6E">
        <w:t xml:space="preserve"> </w:t>
      </w:r>
      <w:r>
        <w:t>współfinansowanego ze</w:t>
      </w:r>
      <w:r w:rsidR="00DF7C6E" w:rsidRPr="00DF7C6E">
        <w:t xml:space="preserve"> środków Unii Europejskiej w ramach działania „Wsparcie dla rozwoju lokalnego w ramach inicjatywy LEADER”</w:t>
      </w:r>
    </w:p>
    <w:p w:rsidR="005A0A07" w:rsidRDefault="001A5A87" w:rsidP="005A0A07">
      <w:pPr>
        <w:jc w:val="center"/>
      </w:pPr>
      <w:r>
        <w:t xml:space="preserve"> </w:t>
      </w:r>
    </w:p>
    <w:tbl>
      <w:tblPr>
        <w:tblStyle w:val="Tabela-Siatka"/>
        <w:tblW w:w="10646" w:type="dxa"/>
        <w:jc w:val="center"/>
        <w:tblLook w:val="04A0" w:firstRow="1" w:lastRow="0" w:firstColumn="1" w:lastColumn="0" w:noHBand="0" w:noVBand="1"/>
      </w:tblPr>
      <w:tblGrid>
        <w:gridCol w:w="514"/>
        <w:gridCol w:w="7881"/>
        <w:gridCol w:w="2251"/>
      </w:tblGrid>
      <w:tr w:rsidR="005A0A07" w:rsidTr="00CC45BC">
        <w:trPr>
          <w:trHeight w:val="583"/>
          <w:jc w:val="center"/>
        </w:trPr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5A0A07" w:rsidRPr="00DF7C6E" w:rsidRDefault="005A0A07" w:rsidP="005A0A07">
            <w:pPr>
              <w:spacing w:line="276" w:lineRule="auto"/>
              <w:jc w:val="center"/>
              <w:rPr>
                <w:b/>
              </w:rPr>
            </w:pPr>
            <w:r w:rsidRPr="00DF7C6E">
              <w:rPr>
                <w:b/>
              </w:rPr>
              <w:t>Lp.</w:t>
            </w:r>
          </w:p>
        </w:tc>
        <w:tc>
          <w:tcPr>
            <w:tcW w:w="7881" w:type="dxa"/>
            <w:tcBorders>
              <w:bottom w:val="single" w:sz="4" w:space="0" w:color="auto"/>
            </w:tcBorders>
            <w:vAlign w:val="center"/>
          </w:tcPr>
          <w:p w:rsidR="005A0A07" w:rsidRPr="00DF7C6E" w:rsidRDefault="00C76228" w:rsidP="005A0A0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RODZAJ KOSZTU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:rsidR="005A0A07" w:rsidRPr="00DF7C6E" w:rsidRDefault="00C76228" w:rsidP="00C76228">
            <w:pPr>
              <w:spacing w:line="276" w:lineRule="auto"/>
              <w:jc w:val="center"/>
              <w:rPr>
                <w:b/>
              </w:rPr>
            </w:pPr>
            <w:r w:rsidRPr="00DF7C6E">
              <w:rPr>
                <w:b/>
              </w:rPr>
              <w:t>KWOTA DOFINANSOWANIA</w:t>
            </w:r>
            <w:r>
              <w:rPr>
                <w:b/>
              </w:rPr>
              <w:t xml:space="preserve">            (w ZŁ)</w:t>
            </w:r>
          </w:p>
        </w:tc>
      </w:tr>
      <w:tr w:rsidR="00AD15EA" w:rsidTr="00CC45BC">
        <w:trPr>
          <w:trHeight w:val="583"/>
          <w:jc w:val="center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15EA" w:rsidRPr="006648D6" w:rsidRDefault="00AD15EA" w:rsidP="005B5E2B">
            <w:pPr>
              <w:spacing w:line="276" w:lineRule="auto"/>
              <w:jc w:val="center"/>
              <w:rPr>
                <w:b/>
              </w:rPr>
            </w:pPr>
            <w:r w:rsidRPr="006648D6">
              <w:rPr>
                <w:b/>
              </w:rPr>
              <w:t>I</w:t>
            </w:r>
          </w:p>
        </w:tc>
        <w:tc>
          <w:tcPr>
            <w:tcW w:w="7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15EA" w:rsidRPr="006648D6" w:rsidRDefault="00AD15EA" w:rsidP="00AD15EA">
            <w:pPr>
              <w:jc w:val="both"/>
              <w:rPr>
                <w:rFonts w:eastAsia="Times New Roman" w:cs="Times New Roman"/>
                <w:lang w:eastAsia="pl-PL"/>
              </w:rPr>
            </w:pPr>
            <w:r w:rsidRPr="006648D6">
              <w:rPr>
                <w:rFonts w:eastAsia="Times New Roman" w:cs="Arial"/>
                <w:b/>
                <w:lang w:eastAsia="pl-PL"/>
              </w:rPr>
              <w:t>Koszty bieżące</w:t>
            </w:r>
            <w:r w:rsidRPr="006648D6">
              <w:rPr>
                <w:rFonts w:eastAsia="Times New Roman" w:cs="Arial"/>
                <w:i/>
                <w:lang w:eastAsia="pl-PL"/>
              </w:rPr>
              <w:t xml:space="preserve"> (art. 35 ust. 1 lit. d rozporządzenia nr 1303/2013): </w:t>
            </w:r>
            <w:r w:rsidRPr="006648D6">
              <w:rPr>
                <w:rFonts w:eastAsia="Times New Roman" w:cs="Times New Roman"/>
                <w:color w:val="000000"/>
                <w:lang w:eastAsia="pl-PL"/>
              </w:rPr>
              <w:t>związane z zarządzaniem wdrażania strategii rozwoju lokalnego kierowanego przez społeczność obejmujące koszty operacyjne, koszty utrzymania biura, koszty personelu, koszty szkoleń pracowników Biura LGD i Rady, koszty związane z public relations, koszty finansowe, a także koszty związane z monitorowaniem i  ewaluacją tej strategii *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15EA" w:rsidRPr="00DD2735" w:rsidRDefault="00AD15EA" w:rsidP="009E65C6">
            <w:pPr>
              <w:jc w:val="right"/>
              <w:rPr>
                <w:rFonts w:ascii="Calibri" w:hAnsi="Calibri"/>
                <w:b/>
                <w:bCs/>
              </w:rPr>
            </w:pPr>
          </w:p>
        </w:tc>
      </w:tr>
      <w:tr w:rsidR="002E42E0" w:rsidTr="00CC45BC">
        <w:trPr>
          <w:trHeight w:val="550"/>
          <w:jc w:val="center"/>
        </w:trPr>
        <w:tc>
          <w:tcPr>
            <w:tcW w:w="514" w:type="dxa"/>
            <w:tcBorders>
              <w:top w:val="single" w:sz="4" w:space="0" w:color="auto"/>
            </w:tcBorders>
            <w:vAlign w:val="center"/>
          </w:tcPr>
          <w:p w:rsidR="002E42E0" w:rsidRPr="006648D6" w:rsidRDefault="002E42E0" w:rsidP="002E42E0">
            <w:pPr>
              <w:spacing w:line="276" w:lineRule="auto"/>
              <w:jc w:val="center"/>
              <w:rPr>
                <w:b/>
              </w:rPr>
            </w:pPr>
            <w:r w:rsidRPr="006648D6">
              <w:rPr>
                <w:b/>
              </w:rPr>
              <w:t>1</w:t>
            </w:r>
          </w:p>
        </w:tc>
        <w:tc>
          <w:tcPr>
            <w:tcW w:w="7881" w:type="dxa"/>
            <w:tcBorders>
              <w:top w:val="single" w:sz="4" w:space="0" w:color="auto"/>
            </w:tcBorders>
            <w:vAlign w:val="center"/>
          </w:tcPr>
          <w:p w:rsidR="002E42E0" w:rsidRPr="006648D6" w:rsidRDefault="002E42E0" w:rsidP="002E42E0">
            <w:pPr>
              <w:spacing w:line="276" w:lineRule="auto"/>
            </w:pPr>
            <w:r>
              <w:t>Koszty materiałów</w:t>
            </w:r>
            <w:r w:rsidRPr="002E42E0">
              <w:t xml:space="preserve"> RLKS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2E0" w:rsidRPr="00DD2735" w:rsidRDefault="002E42E0" w:rsidP="002E42E0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817,11</w:t>
            </w:r>
          </w:p>
        </w:tc>
      </w:tr>
      <w:tr w:rsidR="002E42E0" w:rsidTr="00CC45BC">
        <w:trPr>
          <w:trHeight w:val="583"/>
          <w:jc w:val="center"/>
        </w:trPr>
        <w:tc>
          <w:tcPr>
            <w:tcW w:w="514" w:type="dxa"/>
            <w:vAlign w:val="center"/>
          </w:tcPr>
          <w:p w:rsidR="002E42E0" w:rsidRPr="006648D6" w:rsidRDefault="002E42E0" w:rsidP="002E42E0">
            <w:pPr>
              <w:spacing w:line="276" w:lineRule="auto"/>
              <w:jc w:val="center"/>
              <w:rPr>
                <w:b/>
              </w:rPr>
            </w:pPr>
            <w:r w:rsidRPr="006648D6">
              <w:rPr>
                <w:b/>
              </w:rPr>
              <w:t>2</w:t>
            </w:r>
          </w:p>
        </w:tc>
        <w:tc>
          <w:tcPr>
            <w:tcW w:w="7881" w:type="dxa"/>
            <w:vAlign w:val="center"/>
          </w:tcPr>
          <w:p w:rsidR="002E42E0" w:rsidRPr="006648D6" w:rsidRDefault="002E42E0" w:rsidP="002E42E0">
            <w:pPr>
              <w:spacing w:line="276" w:lineRule="auto"/>
            </w:pPr>
            <w:r>
              <w:t>Koszty energii RLKS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2E0" w:rsidRPr="00DD2735" w:rsidRDefault="002E42E0" w:rsidP="002E42E0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6 484,65</w:t>
            </w:r>
          </w:p>
        </w:tc>
      </w:tr>
      <w:tr w:rsidR="002E42E0" w:rsidTr="00CC45BC">
        <w:trPr>
          <w:trHeight w:val="583"/>
          <w:jc w:val="center"/>
        </w:trPr>
        <w:tc>
          <w:tcPr>
            <w:tcW w:w="514" w:type="dxa"/>
            <w:vAlign w:val="center"/>
          </w:tcPr>
          <w:p w:rsidR="002E42E0" w:rsidRPr="006648D6" w:rsidRDefault="002E42E0" w:rsidP="002E42E0">
            <w:pPr>
              <w:spacing w:line="276" w:lineRule="auto"/>
              <w:jc w:val="center"/>
              <w:rPr>
                <w:b/>
              </w:rPr>
            </w:pPr>
            <w:r w:rsidRPr="006648D6">
              <w:rPr>
                <w:b/>
              </w:rPr>
              <w:t xml:space="preserve"> 3</w:t>
            </w:r>
          </w:p>
        </w:tc>
        <w:tc>
          <w:tcPr>
            <w:tcW w:w="7881" w:type="dxa"/>
            <w:vAlign w:val="center"/>
          </w:tcPr>
          <w:p w:rsidR="002E42E0" w:rsidRPr="006648D6" w:rsidRDefault="002E42E0" w:rsidP="002E42E0">
            <w:pPr>
              <w:spacing w:line="276" w:lineRule="auto"/>
            </w:pPr>
            <w:r>
              <w:t xml:space="preserve">Koszty usług </w:t>
            </w:r>
            <w:r w:rsidRPr="002E42E0">
              <w:t>RLKS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2E0" w:rsidRPr="00DD2735" w:rsidRDefault="002E42E0" w:rsidP="002E42E0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23 672,92</w:t>
            </w:r>
          </w:p>
        </w:tc>
      </w:tr>
      <w:tr w:rsidR="002E42E0" w:rsidTr="00CC45BC">
        <w:trPr>
          <w:trHeight w:val="583"/>
          <w:jc w:val="center"/>
        </w:trPr>
        <w:tc>
          <w:tcPr>
            <w:tcW w:w="514" w:type="dxa"/>
            <w:vAlign w:val="center"/>
          </w:tcPr>
          <w:p w:rsidR="002E42E0" w:rsidRPr="006648D6" w:rsidRDefault="002E42E0" w:rsidP="002E42E0">
            <w:pPr>
              <w:spacing w:line="276" w:lineRule="auto"/>
              <w:jc w:val="center"/>
              <w:rPr>
                <w:b/>
              </w:rPr>
            </w:pPr>
            <w:r w:rsidRPr="006648D6">
              <w:rPr>
                <w:b/>
              </w:rPr>
              <w:t>4</w:t>
            </w:r>
          </w:p>
        </w:tc>
        <w:tc>
          <w:tcPr>
            <w:tcW w:w="7881" w:type="dxa"/>
            <w:vAlign w:val="center"/>
          </w:tcPr>
          <w:p w:rsidR="002E42E0" w:rsidRPr="006648D6" w:rsidRDefault="002E42E0" w:rsidP="002E42E0">
            <w:pPr>
              <w:spacing w:line="276" w:lineRule="auto"/>
            </w:pPr>
            <w:r>
              <w:t xml:space="preserve">Podatki i opłaty </w:t>
            </w:r>
            <w:r w:rsidRPr="002E42E0">
              <w:t>RLKS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2E0" w:rsidRPr="00DD2735" w:rsidRDefault="002E42E0" w:rsidP="002E42E0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150,00</w:t>
            </w:r>
          </w:p>
        </w:tc>
      </w:tr>
      <w:tr w:rsidR="002E42E0" w:rsidTr="00CC45BC">
        <w:trPr>
          <w:trHeight w:val="550"/>
          <w:jc w:val="center"/>
        </w:trPr>
        <w:tc>
          <w:tcPr>
            <w:tcW w:w="514" w:type="dxa"/>
            <w:vAlign w:val="center"/>
          </w:tcPr>
          <w:p w:rsidR="002E42E0" w:rsidRPr="006648D6" w:rsidRDefault="002E42E0" w:rsidP="002E42E0">
            <w:pPr>
              <w:spacing w:line="276" w:lineRule="auto"/>
              <w:jc w:val="center"/>
              <w:rPr>
                <w:b/>
              </w:rPr>
            </w:pPr>
            <w:r w:rsidRPr="006648D6">
              <w:rPr>
                <w:b/>
              </w:rPr>
              <w:t>5</w:t>
            </w:r>
          </w:p>
        </w:tc>
        <w:tc>
          <w:tcPr>
            <w:tcW w:w="7881" w:type="dxa"/>
            <w:vAlign w:val="center"/>
          </w:tcPr>
          <w:p w:rsidR="002E42E0" w:rsidRPr="006648D6" w:rsidRDefault="002E42E0" w:rsidP="002E42E0">
            <w:pPr>
              <w:spacing w:line="276" w:lineRule="auto"/>
              <w:jc w:val="both"/>
            </w:pPr>
            <w:r>
              <w:t xml:space="preserve">Koszty wynagrodzeń </w:t>
            </w:r>
            <w:r w:rsidRPr="002E42E0">
              <w:t>RLKS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2E0" w:rsidRPr="00DD2735" w:rsidRDefault="002E42E0" w:rsidP="002E42E0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123 643,25</w:t>
            </w:r>
          </w:p>
        </w:tc>
      </w:tr>
      <w:tr w:rsidR="002E42E0" w:rsidTr="00CC45BC">
        <w:trPr>
          <w:trHeight w:val="550"/>
          <w:jc w:val="center"/>
        </w:trPr>
        <w:tc>
          <w:tcPr>
            <w:tcW w:w="514" w:type="dxa"/>
            <w:vAlign w:val="center"/>
          </w:tcPr>
          <w:p w:rsidR="002E42E0" w:rsidRPr="006648D6" w:rsidRDefault="002E42E0" w:rsidP="002E42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81" w:type="dxa"/>
            <w:vAlign w:val="center"/>
          </w:tcPr>
          <w:p w:rsidR="002E42E0" w:rsidRDefault="002E42E0" w:rsidP="002E42E0">
            <w:pPr>
              <w:spacing w:line="276" w:lineRule="auto"/>
              <w:jc w:val="both"/>
            </w:pPr>
            <w:r>
              <w:t>Koszty narzutów RLKS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2E0" w:rsidRPr="00DD2735" w:rsidRDefault="002E42E0" w:rsidP="002E42E0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23 366,32</w:t>
            </w:r>
          </w:p>
        </w:tc>
      </w:tr>
      <w:tr w:rsidR="002E42E0" w:rsidTr="00CC45BC">
        <w:trPr>
          <w:trHeight w:val="550"/>
          <w:jc w:val="center"/>
        </w:trPr>
        <w:tc>
          <w:tcPr>
            <w:tcW w:w="514" w:type="dxa"/>
            <w:vAlign w:val="center"/>
          </w:tcPr>
          <w:p w:rsidR="002E42E0" w:rsidRDefault="002E42E0" w:rsidP="002E42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</w:p>
        </w:tc>
        <w:tc>
          <w:tcPr>
            <w:tcW w:w="7881" w:type="dxa"/>
            <w:vAlign w:val="center"/>
          </w:tcPr>
          <w:p w:rsidR="002E42E0" w:rsidRDefault="002E42E0" w:rsidP="002E42E0">
            <w:pPr>
              <w:spacing w:line="276" w:lineRule="auto"/>
              <w:jc w:val="both"/>
            </w:pPr>
            <w:r>
              <w:t>Koszty delegacji RLKS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2E0" w:rsidRPr="00DD2735" w:rsidRDefault="002E42E0" w:rsidP="002E42E0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9 270,15</w:t>
            </w:r>
          </w:p>
        </w:tc>
      </w:tr>
      <w:tr w:rsidR="002E42E0" w:rsidTr="00CC45BC">
        <w:trPr>
          <w:trHeight w:val="550"/>
          <w:jc w:val="center"/>
        </w:trPr>
        <w:tc>
          <w:tcPr>
            <w:tcW w:w="514" w:type="dxa"/>
            <w:shd w:val="clear" w:color="auto" w:fill="D9D9D9" w:themeFill="background1" w:themeFillShade="D9"/>
            <w:vAlign w:val="center"/>
          </w:tcPr>
          <w:p w:rsidR="002E42E0" w:rsidRPr="006648D6" w:rsidRDefault="002E42E0" w:rsidP="002E42E0">
            <w:pPr>
              <w:spacing w:line="276" w:lineRule="auto"/>
              <w:jc w:val="center"/>
              <w:rPr>
                <w:b/>
              </w:rPr>
            </w:pPr>
            <w:r w:rsidRPr="006648D6">
              <w:rPr>
                <w:b/>
              </w:rPr>
              <w:t>II</w:t>
            </w:r>
          </w:p>
        </w:tc>
        <w:tc>
          <w:tcPr>
            <w:tcW w:w="7881" w:type="dxa"/>
            <w:shd w:val="clear" w:color="auto" w:fill="D9D9D9" w:themeFill="background1" w:themeFillShade="D9"/>
            <w:vAlign w:val="center"/>
          </w:tcPr>
          <w:p w:rsidR="002E42E0" w:rsidRPr="006648D6" w:rsidRDefault="002E42E0" w:rsidP="002E42E0">
            <w:pPr>
              <w:spacing w:line="276" w:lineRule="auto"/>
              <w:jc w:val="both"/>
            </w:pPr>
            <w:r w:rsidRPr="006648D6">
              <w:rPr>
                <w:b/>
              </w:rPr>
              <w:t xml:space="preserve">Aktywizacja </w:t>
            </w:r>
            <w:r w:rsidRPr="006648D6">
              <w:t>(art. 35 ust. 1 lit. e rozporządzenia nr 1303/2013): Animowanie realizacji strategii kierowanej przez społeczność w celu ułatwienia wymiany między zainteresowanymi podmiotami, aby zapewniać informacje i propagować strategię oraz aby wspierać potencjalnych beneficjentów w celu opracowania operacji i przygotowania wniosków**</w:t>
            </w:r>
            <w:r>
              <w:t xml:space="preserve">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E42E0" w:rsidRPr="00DD2735" w:rsidRDefault="002E42E0" w:rsidP="002E42E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0,00</w:t>
            </w:r>
          </w:p>
        </w:tc>
      </w:tr>
      <w:tr w:rsidR="002E42E0" w:rsidTr="005B5E2B">
        <w:trPr>
          <w:trHeight w:val="550"/>
          <w:jc w:val="center"/>
        </w:trPr>
        <w:tc>
          <w:tcPr>
            <w:tcW w:w="514" w:type="dxa"/>
            <w:shd w:val="clear" w:color="auto" w:fill="D0CECE" w:themeFill="background2" w:themeFillShade="E6"/>
            <w:vAlign w:val="center"/>
          </w:tcPr>
          <w:p w:rsidR="002E42E0" w:rsidRDefault="002E42E0" w:rsidP="002E42E0">
            <w:pPr>
              <w:spacing w:line="276" w:lineRule="auto"/>
            </w:pPr>
          </w:p>
        </w:tc>
        <w:tc>
          <w:tcPr>
            <w:tcW w:w="7881" w:type="dxa"/>
            <w:shd w:val="clear" w:color="auto" w:fill="D0CECE" w:themeFill="background2" w:themeFillShade="E6"/>
            <w:vAlign w:val="center"/>
          </w:tcPr>
          <w:p w:rsidR="002E42E0" w:rsidRPr="00E75D9E" w:rsidRDefault="002E42E0" w:rsidP="002E42E0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RAZEM:  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E42E0" w:rsidRPr="00DD2735" w:rsidRDefault="002E42E0" w:rsidP="002E42E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</w:rPr>
              <w:t>187 404,40</w:t>
            </w:r>
          </w:p>
        </w:tc>
      </w:tr>
    </w:tbl>
    <w:p w:rsidR="005A0A07" w:rsidRDefault="005A0A07" w:rsidP="00DF7C6E"/>
    <w:sectPr w:rsidR="005A0A07" w:rsidSect="00DD2735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07"/>
    <w:rsid w:val="000328B1"/>
    <w:rsid w:val="00073934"/>
    <w:rsid w:val="001A5A87"/>
    <w:rsid w:val="0020185F"/>
    <w:rsid w:val="002D15EE"/>
    <w:rsid w:val="002E42E0"/>
    <w:rsid w:val="00336FC4"/>
    <w:rsid w:val="00375EB5"/>
    <w:rsid w:val="003D529E"/>
    <w:rsid w:val="00421FD6"/>
    <w:rsid w:val="0044444A"/>
    <w:rsid w:val="00462692"/>
    <w:rsid w:val="00513FA1"/>
    <w:rsid w:val="005228E8"/>
    <w:rsid w:val="00527A7F"/>
    <w:rsid w:val="00597BD1"/>
    <w:rsid w:val="005A0A07"/>
    <w:rsid w:val="005A13EE"/>
    <w:rsid w:val="005B5E2B"/>
    <w:rsid w:val="006545B0"/>
    <w:rsid w:val="006648D6"/>
    <w:rsid w:val="007160AC"/>
    <w:rsid w:val="00722E58"/>
    <w:rsid w:val="0073733A"/>
    <w:rsid w:val="0076237B"/>
    <w:rsid w:val="007B4762"/>
    <w:rsid w:val="00980B8C"/>
    <w:rsid w:val="009841DC"/>
    <w:rsid w:val="009E65C6"/>
    <w:rsid w:val="00A2599F"/>
    <w:rsid w:val="00A31DE6"/>
    <w:rsid w:val="00AB04C9"/>
    <w:rsid w:val="00AC77B6"/>
    <w:rsid w:val="00AD15EA"/>
    <w:rsid w:val="00B14690"/>
    <w:rsid w:val="00C03DE8"/>
    <w:rsid w:val="00C31FBB"/>
    <w:rsid w:val="00C4639B"/>
    <w:rsid w:val="00C76228"/>
    <w:rsid w:val="00CA614E"/>
    <w:rsid w:val="00CC45BC"/>
    <w:rsid w:val="00CD6E55"/>
    <w:rsid w:val="00CD70FB"/>
    <w:rsid w:val="00D52FBB"/>
    <w:rsid w:val="00D63176"/>
    <w:rsid w:val="00DA107E"/>
    <w:rsid w:val="00DD2735"/>
    <w:rsid w:val="00DF7C6E"/>
    <w:rsid w:val="00E67C58"/>
    <w:rsid w:val="00E75D9E"/>
    <w:rsid w:val="00EF13AD"/>
    <w:rsid w:val="00F2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C2E7D-2149-457B-A9C3-9F1FA032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User</cp:lastModifiedBy>
  <cp:revision>2</cp:revision>
  <cp:lastPrinted>2022-03-10T07:57:00Z</cp:lastPrinted>
  <dcterms:created xsi:type="dcterms:W3CDTF">2025-04-25T06:17:00Z</dcterms:created>
  <dcterms:modified xsi:type="dcterms:W3CDTF">2025-04-25T06:17:00Z</dcterms:modified>
</cp:coreProperties>
</file>